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96DEC" w14:textId="060BA4EC" w:rsidR="000B61AC" w:rsidRDefault="00C24A21" w:rsidP="00C24A21">
      <w:pPr>
        <w:spacing w:after="0"/>
        <w:rPr>
          <w:sz w:val="22"/>
          <w:szCs w:val="22"/>
        </w:rPr>
      </w:pPr>
      <w:r w:rsidRPr="00FE36B4">
        <w:rPr>
          <w:sz w:val="22"/>
          <w:szCs w:val="22"/>
        </w:rPr>
        <w:t>An open letter to the Citizens of Floyd County</w:t>
      </w:r>
      <w:r w:rsidR="004B0063">
        <w:rPr>
          <w:sz w:val="22"/>
          <w:szCs w:val="22"/>
        </w:rPr>
        <w:t>,</w:t>
      </w:r>
    </w:p>
    <w:p w14:paraId="531A8556" w14:textId="77777777" w:rsidR="004B0063" w:rsidRPr="00C66499" w:rsidRDefault="004B0063" w:rsidP="00C24A21">
      <w:pPr>
        <w:spacing w:after="0"/>
        <w:rPr>
          <w:sz w:val="16"/>
          <w:szCs w:val="16"/>
        </w:rPr>
      </w:pPr>
    </w:p>
    <w:p w14:paraId="57D96680" w14:textId="461BF64F" w:rsidR="004B0063" w:rsidRDefault="004B0063" w:rsidP="00C24A21">
      <w:pPr>
        <w:spacing w:after="0"/>
        <w:rPr>
          <w:sz w:val="22"/>
          <w:szCs w:val="22"/>
        </w:rPr>
      </w:pPr>
      <w:r>
        <w:rPr>
          <w:sz w:val="22"/>
          <w:szCs w:val="22"/>
        </w:rPr>
        <w:tab/>
        <w:t>This open letter is to share the concerns and feelings of the Commissioner’s Court with those we represent. The Data Center issues we are dealing with were t</w:t>
      </w:r>
      <w:r w:rsidR="00E9542E">
        <w:rPr>
          <w:sz w:val="22"/>
          <w:szCs w:val="22"/>
        </w:rPr>
        <w:t>h</w:t>
      </w:r>
      <w:r>
        <w:rPr>
          <w:sz w:val="22"/>
          <w:szCs w:val="22"/>
        </w:rPr>
        <w:t xml:space="preserve">rust upon us, early this year. This </w:t>
      </w:r>
      <w:r w:rsidR="00756AEE">
        <w:rPr>
          <w:sz w:val="22"/>
          <w:szCs w:val="22"/>
        </w:rPr>
        <w:t xml:space="preserve">certainly was </w:t>
      </w:r>
      <w:r w:rsidR="00954B17">
        <w:rPr>
          <w:sz w:val="22"/>
          <w:szCs w:val="22"/>
        </w:rPr>
        <w:t xml:space="preserve">not “on the </w:t>
      </w:r>
      <w:r>
        <w:rPr>
          <w:sz w:val="22"/>
          <w:szCs w:val="22"/>
        </w:rPr>
        <w:t>radar” prior to January. First, we live here and love our communities and our county and will always strive to do what is best for those we represent</w:t>
      </w:r>
      <w:r w:rsidR="00AE4EBE">
        <w:rPr>
          <w:sz w:val="22"/>
          <w:szCs w:val="22"/>
        </w:rPr>
        <w:t xml:space="preserve"> and</w:t>
      </w:r>
      <w:r w:rsidR="001628DD">
        <w:rPr>
          <w:sz w:val="22"/>
          <w:szCs w:val="22"/>
        </w:rPr>
        <w:t xml:space="preserve"> </w:t>
      </w:r>
      <w:r w:rsidR="001E5887">
        <w:rPr>
          <w:sz w:val="22"/>
          <w:szCs w:val="22"/>
        </w:rPr>
        <w:t>ensure</w:t>
      </w:r>
      <w:r w:rsidR="00AE4EBE">
        <w:rPr>
          <w:sz w:val="22"/>
          <w:szCs w:val="22"/>
        </w:rPr>
        <w:t xml:space="preserve"> the future we must pass on to our children. </w:t>
      </w:r>
    </w:p>
    <w:p w14:paraId="36862246" w14:textId="6537A184" w:rsidR="009D1ACB" w:rsidRDefault="00AE4EBE" w:rsidP="00C24A21">
      <w:pPr>
        <w:spacing w:after="0"/>
        <w:rPr>
          <w:sz w:val="22"/>
          <w:szCs w:val="22"/>
        </w:rPr>
      </w:pPr>
      <w:r>
        <w:rPr>
          <w:sz w:val="22"/>
          <w:szCs w:val="22"/>
        </w:rPr>
        <w:tab/>
        <w:t xml:space="preserve">Here are a few facts. First, Floyd County has </w:t>
      </w:r>
      <w:r w:rsidR="00BF59F7">
        <w:rPr>
          <w:sz w:val="22"/>
          <w:szCs w:val="22"/>
        </w:rPr>
        <w:t>very limited</w:t>
      </w:r>
      <w:r>
        <w:rPr>
          <w:sz w:val="22"/>
          <w:szCs w:val="22"/>
        </w:rPr>
        <w:t xml:space="preserve"> regulatory authority to control any of this, and there </w:t>
      </w:r>
      <w:r w:rsidR="000B2ADF">
        <w:rPr>
          <w:sz w:val="22"/>
          <w:szCs w:val="22"/>
        </w:rPr>
        <w:t>are few</w:t>
      </w:r>
      <w:r>
        <w:rPr>
          <w:sz w:val="22"/>
          <w:szCs w:val="22"/>
        </w:rPr>
        <w:t xml:space="preserve"> tools we have to manage the situation. The Court has passed a resolution calling on the State Legislature to do their due diligence, to evaluate the long-term consequences of these developments, but unfortunately, the “cat is out of the bag” and we expect no action from them for at least a year. Second, Texas has </w:t>
      </w:r>
      <w:r w:rsidR="009E318E">
        <w:rPr>
          <w:sz w:val="22"/>
          <w:szCs w:val="22"/>
        </w:rPr>
        <w:t>a</w:t>
      </w:r>
      <w:r>
        <w:rPr>
          <w:sz w:val="22"/>
          <w:szCs w:val="22"/>
        </w:rPr>
        <w:t xml:space="preserve"> long and proud history of Private Property rights and very limited regulation. </w:t>
      </w:r>
      <w:r w:rsidR="009D1ACB">
        <w:rPr>
          <w:sz w:val="22"/>
          <w:szCs w:val="22"/>
        </w:rPr>
        <w:t xml:space="preserve">That is why they </w:t>
      </w:r>
      <w:r w:rsidR="00BF59F7">
        <w:rPr>
          <w:sz w:val="22"/>
          <w:szCs w:val="22"/>
        </w:rPr>
        <w:t xml:space="preserve">(data centers, etc.) </w:t>
      </w:r>
      <w:r w:rsidR="009D1ACB">
        <w:rPr>
          <w:sz w:val="22"/>
          <w:szCs w:val="22"/>
        </w:rPr>
        <w:t>are here! Once they have purchased land, they can do with it as they please</w:t>
      </w:r>
      <w:r w:rsidR="00BF59F7">
        <w:rPr>
          <w:sz w:val="22"/>
          <w:szCs w:val="22"/>
        </w:rPr>
        <w:t>, barring any illegal activity</w:t>
      </w:r>
      <w:r w:rsidR="009D1ACB">
        <w:rPr>
          <w:sz w:val="22"/>
          <w:szCs w:val="22"/>
        </w:rPr>
        <w:t xml:space="preserve">, just like anyone else. We must be </w:t>
      </w:r>
      <w:r w:rsidR="00F55975">
        <w:rPr>
          <w:sz w:val="22"/>
          <w:szCs w:val="22"/>
        </w:rPr>
        <w:t>cautious about</w:t>
      </w:r>
      <w:r w:rsidR="009D1ACB">
        <w:rPr>
          <w:sz w:val="22"/>
          <w:szCs w:val="22"/>
        </w:rPr>
        <w:t xml:space="preserve"> what we wish for here, if there is future legislation to allow the State, or the County to regulate Data Centers, all landowners would be equally subject to that authority. None of us want to be told what we can and cannot build or do with our property. </w:t>
      </w:r>
    </w:p>
    <w:p w14:paraId="1923939A" w14:textId="7EBAC8C6" w:rsidR="00C24A21" w:rsidRPr="00FE36B4" w:rsidRDefault="009D1ACB" w:rsidP="00C24A21">
      <w:pPr>
        <w:spacing w:after="0"/>
        <w:rPr>
          <w:sz w:val="22"/>
          <w:szCs w:val="22"/>
        </w:rPr>
      </w:pPr>
      <w:r>
        <w:rPr>
          <w:sz w:val="22"/>
          <w:szCs w:val="22"/>
        </w:rPr>
        <w:tab/>
        <w:t xml:space="preserve"> Again, t</w:t>
      </w:r>
      <w:r w:rsidR="00001C9C" w:rsidRPr="00FE36B4">
        <w:rPr>
          <w:sz w:val="22"/>
          <w:szCs w:val="22"/>
        </w:rPr>
        <w:t xml:space="preserve">he County has no authority to zone areas or restrict the development of private land except </w:t>
      </w:r>
      <w:r w:rsidR="00A529D1">
        <w:rPr>
          <w:sz w:val="22"/>
          <w:szCs w:val="22"/>
        </w:rPr>
        <w:t>that which</w:t>
      </w:r>
      <w:r w:rsidR="00001C9C" w:rsidRPr="00FE36B4">
        <w:rPr>
          <w:sz w:val="22"/>
          <w:szCs w:val="22"/>
        </w:rPr>
        <w:t xml:space="preserve"> is statutorily given</w:t>
      </w:r>
      <w:r>
        <w:rPr>
          <w:sz w:val="22"/>
          <w:szCs w:val="22"/>
        </w:rPr>
        <w:t>, for example</w:t>
      </w:r>
      <w:r w:rsidR="00BF59F7">
        <w:rPr>
          <w:sz w:val="22"/>
          <w:szCs w:val="22"/>
        </w:rPr>
        <w:t>: reinvestment zones,</w:t>
      </w:r>
      <w:r>
        <w:rPr>
          <w:sz w:val="22"/>
          <w:szCs w:val="22"/>
        </w:rPr>
        <w:t xml:space="preserve"> gaming rooms, subdivisions, and landfills.</w:t>
      </w:r>
      <w:r w:rsidR="00001C9C" w:rsidRPr="00FE36B4">
        <w:rPr>
          <w:sz w:val="22"/>
          <w:szCs w:val="22"/>
        </w:rPr>
        <w:t xml:space="preserve">  The County cannot enact moratoriums or take any action </w:t>
      </w:r>
      <w:r>
        <w:rPr>
          <w:sz w:val="22"/>
          <w:szCs w:val="22"/>
        </w:rPr>
        <w:t>not expressly granted by law</w:t>
      </w:r>
      <w:r w:rsidR="00001C9C" w:rsidRPr="00FE36B4">
        <w:rPr>
          <w:sz w:val="22"/>
          <w:szCs w:val="22"/>
        </w:rPr>
        <w:t xml:space="preserve">.  </w:t>
      </w:r>
      <w:r w:rsidR="00C66499">
        <w:rPr>
          <w:sz w:val="22"/>
          <w:szCs w:val="22"/>
        </w:rPr>
        <w:t xml:space="preserve">Local governments that </w:t>
      </w:r>
      <w:r w:rsidR="00726640">
        <w:rPr>
          <w:sz w:val="22"/>
          <w:szCs w:val="22"/>
        </w:rPr>
        <w:t>h</w:t>
      </w:r>
      <w:r w:rsidR="00C66499">
        <w:rPr>
          <w:sz w:val="22"/>
          <w:szCs w:val="22"/>
        </w:rPr>
        <w:t xml:space="preserve">ave tried have been met with lawsuits and referrals to the Texas Attorney General’s Office for committing illegal actions.  </w:t>
      </w:r>
      <w:r>
        <w:rPr>
          <w:sz w:val="22"/>
          <w:szCs w:val="22"/>
        </w:rPr>
        <w:t>At</w:t>
      </w:r>
      <w:r w:rsidR="00001C9C" w:rsidRPr="00FE36B4">
        <w:rPr>
          <w:sz w:val="22"/>
          <w:szCs w:val="22"/>
        </w:rPr>
        <w:t xml:space="preserve"> this point, the Great State of Texas </w:t>
      </w:r>
      <w:r w:rsidR="00816D3E">
        <w:rPr>
          <w:sz w:val="22"/>
          <w:szCs w:val="22"/>
        </w:rPr>
        <w:t>cannot</w:t>
      </w:r>
      <w:r w:rsidR="00001C9C" w:rsidRPr="00FE36B4">
        <w:rPr>
          <w:sz w:val="22"/>
          <w:szCs w:val="22"/>
        </w:rPr>
        <w:t xml:space="preserve"> either.  The State can </w:t>
      </w:r>
      <w:r w:rsidR="00CD5820">
        <w:rPr>
          <w:sz w:val="22"/>
          <w:szCs w:val="22"/>
        </w:rPr>
        <w:t xml:space="preserve">only </w:t>
      </w:r>
      <w:r w:rsidR="00001C9C" w:rsidRPr="00FE36B4">
        <w:rPr>
          <w:sz w:val="22"/>
          <w:szCs w:val="22"/>
        </w:rPr>
        <w:t xml:space="preserve">limit development on private property when the development is </w:t>
      </w:r>
      <w:r w:rsidR="00B166D7">
        <w:rPr>
          <w:sz w:val="22"/>
          <w:szCs w:val="22"/>
        </w:rPr>
        <w:t xml:space="preserve">subject </w:t>
      </w:r>
      <w:r w:rsidR="00E80855">
        <w:rPr>
          <w:sz w:val="22"/>
          <w:szCs w:val="22"/>
        </w:rPr>
        <w:t>to</w:t>
      </w:r>
      <w:r w:rsidR="00B166D7">
        <w:rPr>
          <w:sz w:val="22"/>
          <w:szCs w:val="22"/>
        </w:rPr>
        <w:t xml:space="preserve"> regulation</w:t>
      </w:r>
      <w:r w:rsidR="00001C9C" w:rsidRPr="00FE36B4">
        <w:rPr>
          <w:sz w:val="22"/>
          <w:szCs w:val="22"/>
        </w:rPr>
        <w:t xml:space="preserve"> by a State Agency.  An example would be runoff water controlled and regulated by TCEQ.  </w:t>
      </w:r>
    </w:p>
    <w:p w14:paraId="29AC8A12" w14:textId="79840BA0" w:rsidR="00001C9C" w:rsidRPr="00FE36B4" w:rsidRDefault="00816D3E" w:rsidP="00C24A21">
      <w:pPr>
        <w:spacing w:after="0"/>
        <w:rPr>
          <w:sz w:val="22"/>
          <w:szCs w:val="22"/>
        </w:rPr>
      </w:pPr>
      <w:r>
        <w:rPr>
          <w:sz w:val="22"/>
          <w:szCs w:val="22"/>
        </w:rPr>
        <w:tab/>
      </w:r>
      <w:r w:rsidR="00001C9C" w:rsidRPr="00FE36B4">
        <w:rPr>
          <w:sz w:val="22"/>
          <w:szCs w:val="22"/>
        </w:rPr>
        <w:t xml:space="preserve">Next, the use of </w:t>
      </w:r>
      <w:r>
        <w:rPr>
          <w:sz w:val="22"/>
          <w:szCs w:val="22"/>
        </w:rPr>
        <w:t xml:space="preserve">the </w:t>
      </w:r>
      <w:r w:rsidR="0043398F">
        <w:rPr>
          <w:sz w:val="22"/>
          <w:szCs w:val="22"/>
        </w:rPr>
        <w:t>312</w:t>
      </w:r>
      <w:r>
        <w:rPr>
          <w:sz w:val="22"/>
          <w:szCs w:val="22"/>
        </w:rPr>
        <w:t xml:space="preserve"> T</w:t>
      </w:r>
      <w:r w:rsidR="00001C9C" w:rsidRPr="00FE36B4">
        <w:rPr>
          <w:sz w:val="22"/>
          <w:szCs w:val="22"/>
        </w:rPr>
        <w:t xml:space="preserve">ax </w:t>
      </w:r>
      <w:r>
        <w:rPr>
          <w:sz w:val="22"/>
          <w:szCs w:val="22"/>
        </w:rPr>
        <w:t>A</w:t>
      </w:r>
      <w:r w:rsidR="00001C9C" w:rsidRPr="00FE36B4">
        <w:rPr>
          <w:sz w:val="22"/>
          <w:szCs w:val="22"/>
        </w:rPr>
        <w:t>batement</w:t>
      </w:r>
      <w:r>
        <w:rPr>
          <w:sz w:val="22"/>
          <w:szCs w:val="22"/>
        </w:rPr>
        <w:t xml:space="preserve"> process. </w:t>
      </w:r>
      <w:r w:rsidR="00BD27BF" w:rsidRPr="00FE36B4">
        <w:rPr>
          <w:sz w:val="22"/>
          <w:szCs w:val="22"/>
        </w:rPr>
        <w:t xml:space="preserve">Some </w:t>
      </w:r>
      <w:r>
        <w:rPr>
          <w:sz w:val="22"/>
          <w:szCs w:val="22"/>
        </w:rPr>
        <w:t>might argue</w:t>
      </w:r>
      <w:r w:rsidR="00BD27BF" w:rsidRPr="00FE36B4">
        <w:rPr>
          <w:sz w:val="22"/>
          <w:szCs w:val="22"/>
        </w:rPr>
        <w:t xml:space="preserve"> </w:t>
      </w:r>
      <w:r>
        <w:rPr>
          <w:sz w:val="22"/>
          <w:szCs w:val="22"/>
        </w:rPr>
        <w:t>no</w:t>
      </w:r>
      <w:r w:rsidR="00BD27BF" w:rsidRPr="00FE36B4">
        <w:rPr>
          <w:sz w:val="22"/>
          <w:szCs w:val="22"/>
        </w:rPr>
        <w:t xml:space="preserve"> tax abatement</w:t>
      </w:r>
      <w:r>
        <w:rPr>
          <w:sz w:val="22"/>
          <w:szCs w:val="22"/>
        </w:rPr>
        <w:t>,</w:t>
      </w:r>
      <w:r w:rsidR="00BD27BF" w:rsidRPr="00FE36B4">
        <w:rPr>
          <w:sz w:val="22"/>
          <w:szCs w:val="22"/>
        </w:rPr>
        <w:t xml:space="preserve"> and </w:t>
      </w:r>
      <w:r>
        <w:rPr>
          <w:sz w:val="22"/>
          <w:szCs w:val="22"/>
        </w:rPr>
        <w:t>this was certainly our initial thought</w:t>
      </w:r>
      <w:r w:rsidR="00BD27BF" w:rsidRPr="00FE36B4">
        <w:rPr>
          <w:sz w:val="22"/>
          <w:szCs w:val="22"/>
        </w:rPr>
        <w:t xml:space="preserve">. However, </w:t>
      </w:r>
      <w:r>
        <w:rPr>
          <w:sz w:val="22"/>
          <w:szCs w:val="22"/>
        </w:rPr>
        <w:t>after many training conferences</w:t>
      </w:r>
      <w:r w:rsidR="00BF59F7">
        <w:rPr>
          <w:sz w:val="22"/>
          <w:szCs w:val="22"/>
        </w:rPr>
        <w:t xml:space="preserve"> </w:t>
      </w:r>
      <w:r>
        <w:rPr>
          <w:sz w:val="22"/>
          <w:szCs w:val="22"/>
        </w:rPr>
        <w:t>and direct discussions with other counties where this is already underway, we have learned some very valuable insight. The Tax Abatement process</w:t>
      </w:r>
      <w:r w:rsidR="00BD27BF" w:rsidRPr="00FE36B4">
        <w:rPr>
          <w:sz w:val="22"/>
          <w:szCs w:val="22"/>
        </w:rPr>
        <w:t xml:space="preserve"> </w:t>
      </w:r>
      <w:r>
        <w:rPr>
          <w:sz w:val="22"/>
          <w:szCs w:val="22"/>
        </w:rPr>
        <w:t>is</w:t>
      </w:r>
      <w:r w:rsidR="00BF59F7">
        <w:rPr>
          <w:sz w:val="22"/>
          <w:szCs w:val="22"/>
        </w:rPr>
        <w:t xml:space="preserve"> the only effective </w:t>
      </w:r>
      <w:r>
        <w:rPr>
          <w:sz w:val="22"/>
          <w:szCs w:val="22"/>
        </w:rPr>
        <w:t xml:space="preserve">mechanism of control we possess to regulate these </w:t>
      </w:r>
      <w:r w:rsidR="00BD27BF" w:rsidRPr="00FE36B4">
        <w:rPr>
          <w:sz w:val="22"/>
          <w:szCs w:val="22"/>
        </w:rPr>
        <w:t>developments</w:t>
      </w:r>
      <w:r w:rsidR="00BF59F7">
        <w:rPr>
          <w:sz w:val="22"/>
          <w:szCs w:val="22"/>
        </w:rPr>
        <w:t>, through stipulations and requirements contained therein</w:t>
      </w:r>
      <w:r w:rsidR="00BD27BF" w:rsidRPr="00FE36B4">
        <w:rPr>
          <w:sz w:val="22"/>
          <w:szCs w:val="22"/>
        </w:rPr>
        <w:t xml:space="preserve">.  The Floyd County Commissioners Court </w:t>
      </w:r>
      <w:r w:rsidR="00BF59F7">
        <w:rPr>
          <w:sz w:val="22"/>
          <w:szCs w:val="22"/>
        </w:rPr>
        <w:t xml:space="preserve">may </w:t>
      </w:r>
      <w:r w:rsidR="00BD27BF" w:rsidRPr="00FE36B4">
        <w:rPr>
          <w:sz w:val="22"/>
          <w:szCs w:val="22"/>
        </w:rPr>
        <w:t xml:space="preserve">only consider a </w:t>
      </w:r>
      <w:r w:rsidR="0043398F">
        <w:rPr>
          <w:sz w:val="22"/>
          <w:szCs w:val="22"/>
        </w:rPr>
        <w:t>312</w:t>
      </w:r>
      <w:r>
        <w:rPr>
          <w:sz w:val="22"/>
          <w:szCs w:val="22"/>
        </w:rPr>
        <w:t xml:space="preserve"> </w:t>
      </w:r>
      <w:r w:rsidR="001B5717">
        <w:rPr>
          <w:sz w:val="22"/>
          <w:szCs w:val="22"/>
        </w:rPr>
        <w:t>Agreement</w:t>
      </w:r>
      <w:r w:rsidR="009875BF">
        <w:rPr>
          <w:sz w:val="22"/>
          <w:szCs w:val="22"/>
        </w:rPr>
        <w:t xml:space="preserve">, </w:t>
      </w:r>
      <w:r w:rsidR="00BD27BF" w:rsidRPr="00FE36B4">
        <w:rPr>
          <w:sz w:val="22"/>
          <w:szCs w:val="22"/>
        </w:rPr>
        <w:t xml:space="preserve">if </w:t>
      </w:r>
      <w:r w:rsidR="0011700C">
        <w:rPr>
          <w:sz w:val="22"/>
          <w:szCs w:val="22"/>
        </w:rPr>
        <w:t xml:space="preserve">the development </w:t>
      </w:r>
      <w:r w:rsidR="00BD27BF" w:rsidRPr="00FE36B4">
        <w:rPr>
          <w:sz w:val="22"/>
          <w:szCs w:val="22"/>
        </w:rPr>
        <w:t xml:space="preserve">meets two requirements: (1) </w:t>
      </w:r>
      <w:r w:rsidR="00FE36B4">
        <w:rPr>
          <w:sz w:val="22"/>
          <w:szCs w:val="22"/>
        </w:rPr>
        <w:t>t</w:t>
      </w:r>
      <w:r w:rsidR="00BD27BF" w:rsidRPr="00FE36B4">
        <w:rPr>
          <w:sz w:val="22"/>
          <w:szCs w:val="22"/>
        </w:rPr>
        <w:t xml:space="preserve">hat the data center must be an air-cooled system and (2) that the development </w:t>
      </w:r>
      <w:r>
        <w:rPr>
          <w:sz w:val="22"/>
          <w:szCs w:val="22"/>
        </w:rPr>
        <w:t>must have</w:t>
      </w:r>
      <w:r w:rsidR="00BD27BF" w:rsidRPr="00FE36B4">
        <w:rPr>
          <w:sz w:val="22"/>
          <w:szCs w:val="22"/>
        </w:rPr>
        <w:t xml:space="preserve"> the ability to produce all the electricity that is needed to operate</w:t>
      </w:r>
      <w:r w:rsidR="00BF509D">
        <w:rPr>
          <w:sz w:val="22"/>
          <w:szCs w:val="22"/>
        </w:rPr>
        <w:t xml:space="preserve">, preventing competition for power in times of shortage with local resident, farmers, and businesses. </w:t>
      </w:r>
      <w:r w:rsidR="00BD27BF" w:rsidRPr="00FE36B4">
        <w:rPr>
          <w:sz w:val="22"/>
          <w:szCs w:val="22"/>
        </w:rPr>
        <w:t xml:space="preserve">The requirement for the air-cooled system is </w:t>
      </w:r>
      <w:r w:rsidR="00BF509D">
        <w:rPr>
          <w:sz w:val="22"/>
          <w:szCs w:val="22"/>
        </w:rPr>
        <w:t>to conserve our limited water resources</w:t>
      </w:r>
      <w:r w:rsidR="00BD27BF" w:rsidRPr="00FE36B4">
        <w:rPr>
          <w:sz w:val="22"/>
          <w:szCs w:val="22"/>
        </w:rPr>
        <w:t>.</w:t>
      </w:r>
      <w:r w:rsidR="004E4583" w:rsidRPr="00FE36B4">
        <w:rPr>
          <w:sz w:val="22"/>
          <w:szCs w:val="22"/>
        </w:rPr>
        <w:t xml:space="preserve">  </w:t>
      </w:r>
      <w:r w:rsidR="00BF509D">
        <w:rPr>
          <w:sz w:val="22"/>
          <w:szCs w:val="22"/>
        </w:rPr>
        <w:t xml:space="preserve">With no ability to “require” </w:t>
      </w:r>
      <w:r w:rsidR="004E4583" w:rsidRPr="00FE36B4">
        <w:rPr>
          <w:sz w:val="22"/>
          <w:szCs w:val="22"/>
        </w:rPr>
        <w:t xml:space="preserve">an air-cooled system, </w:t>
      </w:r>
      <w:r w:rsidR="00BF509D">
        <w:rPr>
          <w:sz w:val="22"/>
          <w:szCs w:val="22"/>
        </w:rPr>
        <w:t>any development has the unlimited right to produce ground water</w:t>
      </w:r>
      <w:r w:rsidR="004E4583" w:rsidRPr="00FE36B4">
        <w:rPr>
          <w:sz w:val="22"/>
          <w:szCs w:val="22"/>
        </w:rPr>
        <w:t xml:space="preserve">. </w:t>
      </w:r>
      <w:r w:rsidR="00BF509D">
        <w:rPr>
          <w:sz w:val="22"/>
          <w:szCs w:val="22"/>
        </w:rPr>
        <w:t xml:space="preserve">One final thought here, without getting into the intricacies of the State Tax Code, the </w:t>
      </w:r>
      <w:r w:rsidR="0043398F">
        <w:rPr>
          <w:sz w:val="22"/>
          <w:szCs w:val="22"/>
        </w:rPr>
        <w:t>312</w:t>
      </w:r>
      <w:r w:rsidR="00BF509D">
        <w:rPr>
          <w:sz w:val="22"/>
          <w:szCs w:val="22"/>
        </w:rPr>
        <w:t xml:space="preserve"> </w:t>
      </w:r>
      <w:r w:rsidR="00C07899">
        <w:rPr>
          <w:sz w:val="22"/>
          <w:szCs w:val="22"/>
        </w:rPr>
        <w:t xml:space="preserve">Agreement </w:t>
      </w:r>
      <w:r w:rsidR="00BF509D">
        <w:rPr>
          <w:sz w:val="22"/>
          <w:szCs w:val="22"/>
        </w:rPr>
        <w:t xml:space="preserve">gives the citizens of Floyd </w:t>
      </w:r>
      <w:r w:rsidR="0011700C">
        <w:rPr>
          <w:sz w:val="22"/>
          <w:szCs w:val="22"/>
        </w:rPr>
        <w:t>County</w:t>
      </w:r>
      <w:r w:rsidR="00BF509D">
        <w:rPr>
          <w:sz w:val="22"/>
          <w:szCs w:val="22"/>
        </w:rPr>
        <w:t xml:space="preserve"> a steady and predictable </w:t>
      </w:r>
      <w:r w:rsidR="00BF59F7">
        <w:rPr>
          <w:sz w:val="22"/>
          <w:szCs w:val="22"/>
        </w:rPr>
        <w:t xml:space="preserve">payment in lieu of taxes (PILOT) </w:t>
      </w:r>
      <w:r w:rsidR="00BF509D">
        <w:rPr>
          <w:sz w:val="22"/>
          <w:szCs w:val="22"/>
        </w:rPr>
        <w:t xml:space="preserve">income from the development over a long period of time, regardless of their depreciation schedules and operation fluctuations. </w:t>
      </w:r>
    </w:p>
    <w:p w14:paraId="09F7FB26" w14:textId="37E380CA" w:rsidR="0011700C" w:rsidRDefault="0011700C" w:rsidP="00C24A21">
      <w:pPr>
        <w:spacing w:after="0"/>
        <w:rPr>
          <w:sz w:val="22"/>
          <w:szCs w:val="22"/>
        </w:rPr>
      </w:pPr>
      <w:r>
        <w:rPr>
          <w:sz w:val="22"/>
          <w:szCs w:val="22"/>
        </w:rPr>
        <w:tab/>
      </w:r>
      <w:r w:rsidR="004E4583" w:rsidRPr="00FE36B4">
        <w:rPr>
          <w:sz w:val="22"/>
          <w:szCs w:val="22"/>
        </w:rPr>
        <w:t xml:space="preserve">Lastly, the use of Non-Disclosure Agreements or commonly called an NDA.  The Floyd County Commissioners Court has not </w:t>
      </w:r>
      <w:r w:rsidRPr="00FE36B4">
        <w:rPr>
          <w:sz w:val="22"/>
          <w:szCs w:val="22"/>
        </w:rPr>
        <w:t>entered</w:t>
      </w:r>
      <w:r w:rsidR="004E4583" w:rsidRPr="00FE36B4">
        <w:rPr>
          <w:sz w:val="22"/>
          <w:szCs w:val="22"/>
        </w:rPr>
        <w:t>, nor will we consider an NDA</w:t>
      </w:r>
      <w:r w:rsidR="00C66499">
        <w:rPr>
          <w:sz w:val="22"/>
          <w:szCs w:val="22"/>
        </w:rPr>
        <w:t xml:space="preserve"> for current development</w:t>
      </w:r>
      <w:r w:rsidR="004E4583" w:rsidRPr="00FE36B4">
        <w:rPr>
          <w:sz w:val="22"/>
          <w:szCs w:val="22"/>
        </w:rPr>
        <w:t>.</w:t>
      </w:r>
      <w:r w:rsidR="00FE36B4" w:rsidRPr="00FE36B4">
        <w:rPr>
          <w:sz w:val="22"/>
          <w:szCs w:val="22"/>
        </w:rPr>
        <w:t xml:space="preserve">  The </w:t>
      </w:r>
      <w:r w:rsidRPr="00FE36B4">
        <w:rPr>
          <w:sz w:val="22"/>
          <w:szCs w:val="22"/>
        </w:rPr>
        <w:t>Commissioner</w:t>
      </w:r>
      <w:r>
        <w:rPr>
          <w:sz w:val="22"/>
          <w:szCs w:val="22"/>
        </w:rPr>
        <w:t xml:space="preserve">s </w:t>
      </w:r>
      <w:r w:rsidR="00FE36B4" w:rsidRPr="00FE36B4">
        <w:rPr>
          <w:sz w:val="22"/>
          <w:szCs w:val="22"/>
        </w:rPr>
        <w:t xml:space="preserve">Court </w:t>
      </w:r>
      <w:r w:rsidR="00C66499">
        <w:rPr>
          <w:sz w:val="22"/>
          <w:szCs w:val="22"/>
        </w:rPr>
        <w:t xml:space="preserve">firmly believes in and supports </w:t>
      </w:r>
      <w:r>
        <w:rPr>
          <w:sz w:val="22"/>
          <w:szCs w:val="22"/>
        </w:rPr>
        <w:t>transparen</w:t>
      </w:r>
      <w:r w:rsidR="00C66499">
        <w:rPr>
          <w:sz w:val="22"/>
          <w:szCs w:val="22"/>
        </w:rPr>
        <w:t>cy of</w:t>
      </w:r>
      <w:r>
        <w:rPr>
          <w:sz w:val="22"/>
          <w:szCs w:val="22"/>
        </w:rPr>
        <w:t xml:space="preserve"> government. All of us are open to any questions, any time.</w:t>
      </w:r>
    </w:p>
    <w:p w14:paraId="26A38634" w14:textId="77777777" w:rsidR="00C66499" w:rsidRDefault="0011700C" w:rsidP="00C24A21">
      <w:pPr>
        <w:spacing w:after="0"/>
        <w:rPr>
          <w:sz w:val="22"/>
          <w:szCs w:val="22"/>
        </w:rPr>
      </w:pPr>
      <w:r>
        <w:rPr>
          <w:sz w:val="22"/>
          <w:szCs w:val="22"/>
        </w:rPr>
        <w:tab/>
        <w:t xml:space="preserve"> Please understand again, we are doing all we can with the limited tools we have to manage a tough situation. There is development in every county around us. No one invited these disruptions to our rural counties, yet here it is. We must all strive to face this situation with Strong West Texas, Floyd County Resolve</w:t>
      </w:r>
      <w:r w:rsidR="0037046C">
        <w:rPr>
          <w:sz w:val="22"/>
          <w:szCs w:val="22"/>
        </w:rPr>
        <w:t xml:space="preserve"> and hope, that through </w:t>
      </w:r>
      <w:r w:rsidR="00C66499">
        <w:rPr>
          <w:sz w:val="22"/>
          <w:szCs w:val="22"/>
        </w:rPr>
        <w:t>this current development</w:t>
      </w:r>
      <w:r w:rsidR="00DA6DDD">
        <w:rPr>
          <w:sz w:val="22"/>
          <w:szCs w:val="22"/>
        </w:rPr>
        <w:t xml:space="preserve"> ther</w:t>
      </w:r>
      <w:r w:rsidR="00FC6E0C">
        <w:rPr>
          <w:sz w:val="22"/>
          <w:szCs w:val="22"/>
        </w:rPr>
        <w:t>e</w:t>
      </w:r>
      <w:r w:rsidR="0037046C">
        <w:rPr>
          <w:sz w:val="22"/>
          <w:szCs w:val="22"/>
        </w:rPr>
        <w:t xml:space="preserve"> might be a few silver linings. </w:t>
      </w:r>
    </w:p>
    <w:p w14:paraId="798AF189" w14:textId="66DF7BF6" w:rsidR="00FE36B4" w:rsidRPr="00C66499" w:rsidRDefault="0011700C" w:rsidP="00C24A21">
      <w:pPr>
        <w:spacing w:after="0"/>
        <w:rPr>
          <w:sz w:val="16"/>
          <w:szCs w:val="16"/>
        </w:rPr>
      </w:pPr>
      <w:r w:rsidRPr="00C66499">
        <w:rPr>
          <w:sz w:val="16"/>
          <w:szCs w:val="16"/>
        </w:rPr>
        <w:tab/>
      </w:r>
    </w:p>
    <w:p w14:paraId="41C4A253" w14:textId="7C14A5EF" w:rsidR="00FE36B4" w:rsidRPr="00FE36B4" w:rsidRDefault="00FE36B4" w:rsidP="00C24A21">
      <w:pPr>
        <w:spacing w:after="0"/>
        <w:rPr>
          <w:sz w:val="22"/>
          <w:szCs w:val="22"/>
        </w:rPr>
      </w:pPr>
      <w:r w:rsidRPr="00FE36B4">
        <w:rPr>
          <w:sz w:val="22"/>
          <w:szCs w:val="22"/>
        </w:rPr>
        <w:t>Thank you for your time,</w:t>
      </w:r>
    </w:p>
    <w:p w14:paraId="65C72B90" w14:textId="73432531" w:rsidR="004B0063" w:rsidRPr="0043398F" w:rsidRDefault="00FE36B4" w:rsidP="00C24A21">
      <w:pPr>
        <w:spacing w:after="0"/>
        <w:rPr>
          <w:sz w:val="22"/>
          <w:szCs w:val="22"/>
        </w:rPr>
      </w:pPr>
      <w:r w:rsidRPr="00FE36B4">
        <w:rPr>
          <w:sz w:val="22"/>
          <w:szCs w:val="22"/>
        </w:rPr>
        <w:t>The Floyd County Commissioners Court</w:t>
      </w:r>
    </w:p>
    <w:sectPr w:rsidR="004B0063" w:rsidRPr="0043398F" w:rsidSect="00714A68">
      <w:pgSz w:w="12240" w:h="15840"/>
      <w:pgMar w:top="1080" w:right="864" w:bottom="108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A21"/>
    <w:rsid w:val="00001C9C"/>
    <w:rsid w:val="000B2ADF"/>
    <w:rsid w:val="000B61AC"/>
    <w:rsid w:val="0011700C"/>
    <w:rsid w:val="001628DD"/>
    <w:rsid w:val="00193E03"/>
    <w:rsid w:val="001B5717"/>
    <w:rsid w:val="001E5887"/>
    <w:rsid w:val="00305DCA"/>
    <w:rsid w:val="0037046C"/>
    <w:rsid w:val="0043398F"/>
    <w:rsid w:val="004B0063"/>
    <w:rsid w:val="004E4583"/>
    <w:rsid w:val="00645139"/>
    <w:rsid w:val="006769BE"/>
    <w:rsid w:val="00714A68"/>
    <w:rsid w:val="00726640"/>
    <w:rsid w:val="00756AEE"/>
    <w:rsid w:val="0080190F"/>
    <w:rsid w:val="00816D3E"/>
    <w:rsid w:val="00860574"/>
    <w:rsid w:val="008E1E35"/>
    <w:rsid w:val="00954B17"/>
    <w:rsid w:val="009875BF"/>
    <w:rsid w:val="009B1A93"/>
    <w:rsid w:val="009B2A8B"/>
    <w:rsid w:val="009D1ACB"/>
    <w:rsid w:val="009E318E"/>
    <w:rsid w:val="00A529D1"/>
    <w:rsid w:val="00AE4EBE"/>
    <w:rsid w:val="00B166D7"/>
    <w:rsid w:val="00BD27BF"/>
    <w:rsid w:val="00BF509D"/>
    <w:rsid w:val="00BF59F7"/>
    <w:rsid w:val="00C07899"/>
    <w:rsid w:val="00C24A21"/>
    <w:rsid w:val="00C66499"/>
    <w:rsid w:val="00CD5820"/>
    <w:rsid w:val="00DA6DDD"/>
    <w:rsid w:val="00E80855"/>
    <w:rsid w:val="00E9542E"/>
    <w:rsid w:val="00EF3726"/>
    <w:rsid w:val="00F55975"/>
    <w:rsid w:val="00FC2B9C"/>
    <w:rsid w:val="00FC6E0C"/>
    <w:rsid w:val="00FE36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5188B"/>
  <w15:chartTrackingRefBased/>
  <w15:docId w15:val="{A44C126E-A26A-43CA-913C-3AEFC0517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4A2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24A2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24A2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24A2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24A2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24A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4A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4A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4A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4A2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24A2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24A2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24A2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24A2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24A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4A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4A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4A21"/>
    <w:rPr>
      <w:rFonts w:eastAsiaTheme="majorEastAsia" w:cstheme="majorBidi"/>
      <w:color w:val="272727" w:themeColor="text1" w:themeTint="D8"/>
    </w:rPr>
  </w:style>
  <w:style w:type="paragraph" w:styleId="Title">
    <w:name w:val="Title"/>
    <w:basedOn w:val="Normal"/>
    <w:next w:val="Normal"/>
    <w:link w:val="TitleChar"/>
    <w:uiPriority w:val="10"/>
    <w:qFormat/>
    <w:rsid w:val="00C24A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4A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4A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4A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4A21"/>
    <w:pPr>
      <w:spacing w:before="160"/>
      <w:jc w:val="center"/>
    </w:pPr>
    <w:rPr>
      <w:i/>
      <w:iCs/>
      <w:color w:val="404040" w:themeColor="text1" w:themeTint="BF"/>
    </w:rPr>
  </w:style>
  <w:style w:type="character" w:customStyle="1" w:styleId="QuoteChar">
    <w:name w:val="Quote Char"/>
    <w:basedOn w:val="DefaultParagraphFont"/>
    <w:link w:val="Quote"/>
    <w:uiPriority w:val="29"/>
    <w:rsid w:val="00C24A21"/>
    <w:rPr>
      <w:i/>
      <w:iCs/>
      <w:color w:val="404040" w:themeColor="text1" w:themeTint="BF"/>
    </w:rPr>
  </w:style>
  <w:style w:type="paragraph" w:styleId="ListParagraph">
    <w:name w:val="List Paragraph"/>
    <w:basedOn w:val="Normal"/>
    <w:uiPriority w:val="34"/>
    <w:qFormat/>
    <w:rsid w:val="00C24A21"/>
    <w:pPr>
      <w:ind w:left="720"/>
      <w:contextualSpacing/>
    </w:pPr>
  </w:style>
  <w:style w:type="character" w:styleId="IntenseEmphasis">
    <w:name w:val="Intense Emphasis"/>
    <w:basedOn w:val="DefaultParagraphFont"/>
    <w:uiPriority w:val="21"/>
    <w:qFormat/>
    <w:rsid w:val="00C24A21"/>
    <w:rPr>
      <w:i/>
      <w:iCs/>
      <w:color w:val="2F5496" w:themeColor="accent1" w:themeShade="BF"/>
    </w:rPr>
  </w:style>
  <w:style w:type="paragraph" w:styleId="IntenseQuote">
    <w:name w:val="Intense Quote"/>
    <w:basedOn w:val="Normal"/>
    <w:next w:val="Normal"/>
    <w:link w:val="IntenseQuoteChar"/>
    <w:uiPriority w:val="30"/>
    <w:qFormat/>
    <w:rsid w:val="00C24A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24A21"/>
    <w:rPr>
      <w:i/>
      <w:iCs/>
      <w:color w:val="2F5496" w:themeColor="accent1" w:themeShade="BF"/>
    </w:rPr>
  </w:style>
  <w:style w:type="character" w:styleId="IntenseReference">
    <w:name w:val="Intense Reference"/>
    <w:basedOn w:val="DefaultParagraphFont"/>
    <w:uiPriority w:val="32"/>
    <w:qFormat/>
    <w:rsid w:val="00C24A2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638</Words>
  <Characters>3643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 Lucke</dc:creator>
  <cp:keywords/>
  <dc:description/>
  <cp:lastModifiedBy>Marty Lucke</cp:lastModifiedBy>
  <cp:revision>4</cp:revision>
  <cp:lastPrinted>2026-08-03T14:58:00Z</cp:lastPrinted>
  <dcterms:created xsi:type="dcterms:W3CDTF">2026-08-03T14:58:00Z</dcterms:created>
  <dcterms:modified xsi:type="dcterms:W3CDTF">2026-08-03T15:01:00Z</dcterms:modified>
</cp:coreProperties>
</file>